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129</w:t>
      </w:r>
    </w:p>
    <w:p>
      <w:r>
        <w:t>Bundesgericht (BGE), 1997-02-13, FR</w:t>
      </w:r>
    </w:p>
    <w:p>
      <w:r>
        <w:rPr>
          <w:b/>
        </w:rPr>
        <w:t xml:space="preserve">Quelle: </w:t>
      </w:r>
      <w:r>
        <w:t>https://mcp.opencaselaw.ch/entscheid/bge_123 III 129</w:t>
      </w:r>
    </w:p>
    <w:p>
      <w:r>
        <w:t>FR: ATF 123 III 129</w:t>
      </w:r>
    </w:p>
    <w:p>
      <w:r>
        <w:t>IT: DTF 123 III 129</w:t>
      </w:r>
    </w:p>
    <w:p>
      <w:pPr>
        <w:pStyle w:val="Heading2"/>
      </w:pPr>
      <w:r>
        <w:t>Regeste</w:t>
      </w:r>
    </w:p>
    <w:p>
      <w:r>
        <w:t>Regeste Gesamtarbeitsvertrag (GAV): personeller Anwendungsbereich der normativen Bestimmungen; Tragweite einer Gleichbehandlungsklausel (Art. 357 Abs. 1 OR). Eine Klausel eines GAV, welche die beteiligten Arbeitgeber verpflichtet, die normativen Bestimmungen auf alle Arbeitnehmer anzuwenden, unabhängig davon, ob diese Mitglieder einer dem GAV angeschlossenen Gewerkschaft sind, verleiht dem nicht organisierten Arbeitnehmer keine zivilrechtlichen Ansprüche gegenüber dem Arbeitgeber (Bestätigung der Rechtsprechung; E. 3a, b und d). Möglichkeit, die normativen Bestimmungen eines GAV in den Einzelarbeitsvertrag aufzunehmen (E. 3c). Schutz der Persönlichkeit des Arbeitnehmers (Art. 328b OR; Bundesgesetz vom 19. Juni 1992 über den Datenschutz; DSG). Der Arbeitgeber darf sich nach dem Abschluss des Arbeitsvertrags über die Gewerkschaftszugehörigkeit eines Arbeitnehmers erkundigen, um festzustellen, ob dessen Lohn nach den Vorschriften des vom Arbeitgeber unterzeichneten GAV festgesetzt werden muss (E. 3b/cc).</w:t>
      </w:r>
    </w:p>
    <w:p>
      <w:pPr>
        <w:pStyle w:val="Heading2"/>
      </w:pPr>
      <w:r>
        <w:t>Erwägungen</w:t>
      </w:r>
    </w:p>
    <w:p>
      <w:r>
        <w:rPr>
          <w:b/>
        </w:rPr>
        <w:t>E. 3</w:t>
      </w:r>
    </w:p>
    <w:p>
      <w:r>
        <w:t>a) Selon l' art. 357 al. 1 CO , les clauses normatives de la convention collective de travail n'ont en principe d'effet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La convention peut toutefois être étendue aux tiers en vertu de la loi fédérale du 28 septembre 1956 permettant d'étendre le champ d'application de la convention collective de travail (RS 221.215.311); dans cette hypothèse, ses clauses s'appliquent également aux employeurs et travailleurs auxquels elle est étendue. En dehors de ces cas, les rapports entre parties sont régis par le contrat individuel et la loi, éventuellement par un contrat-type de travail, mais pas par la convention collective ( ATF 102 Ia 16 consid. 2c). La situation est-elle différente lorsque la convention collective de travail contient une clause faisant obligation aux employeurs liés par elle d'appliquer ses dispositions normatives à tous leurs BGE 123 III 129 S. 132 employés, qu'ils soient membres d'une association de travailleurs ou non (clause d'égalité de traitement ou clause d'extension)? Dans son arrêt Stähli, du 2 mars 1955, le Tribunal fédéral a répondu à cette question par la négative, en précisant que les travailleurs non organisés ne sauraient déduire d'une telle clause aucune prétention civile à l'encontre de leur employeur, lequel n'engage sa responsabilité qu'envers les parties à la convention collective de travail s'il viole semblable clause ( ATF 81 I 1 consid. 4). L'opinion exprimée dans cet arrêt, qui est du reste toujours d'actualité (cf., par ex., la décision cantonale publiée in: Jahrbuch des schweizerischen Arbeitsrechts [JAR] 1996 p. 306 ss), est approuvée par la quasi-unanimité des auteurs qui se sont penchés sur le problème (voir, parmi d'autres: REHBINDER, Schweizerisches Arbeitsrecht, 13e éd., p. 210, ch. 2; le même, in: Kommentar zum Schweizerischen Privatrecht, Bâle [ci-après: Commentaire bâlois], Obligationenrecht I, 2e éd., p. 1885, n. 9 ad art. 357 CO ; VISCHER, Der Arbeitsvertrag, in: Schweizerisches Privatrecht, VII/1, iii, p. 276/277, ch. 4a; le même, in: Commentaire zurichois, n. 16 ad art. 356b CO ; STREIFF/VON KAENEL, Leitfaden zum Arbeitsvertragsrecht, 5e éd., n. 4 ad art. 356b CO ; KUHN, Aktuelles Arbeitsrecht für die betriebliche Praxis, vol. 6, part. 17, chap. 13, p. 3; TERCIER, Les contrats spéciaux, 2e éd., p. 398, n. 3220; SCHWEINGRUBER/BIGLER, Kommentar zum Gesamtarbeitsvertrag, 3e éd., p. 33, dernier §; BOIS, Le champ d'application des conventions collectives de travail, in: Stabilité et dynamisme du droit dans la jurisprudence du Tribunal Fédéral Suisse, 1975, p. 443 ss, 445 ch. 7 et 449 ch. 19 et 21; STÖCKLI, Der Inhalt des Gesamtarbeitsvertrages, p. 29/30, let. b; ZUMBRUNN, Die normativen Bestimmungen des Gesamtarbeitsvertrages im System des schweizerischen Arbeitsrechts - ein Vergleich unter Berücksichtigung des deutschen Rechts, thèse Bâle 1983, p. 82; ANNAHEIM-BÜTTIKER, Die Stellung des Aussenseiter-Arbeitnehmers im System des Gesamtarbeitsvertragsrechts, thèse Bâle 1990, p. 11, let. d; KREIS, Der Anschluss eines Aussenseiters an den Gesamtarbeitsvertrag, thèse Berne 1973, p. 46/47, ch. 2). b) Les différents arguments avancés par la demanderesse pour étayer sa requête visant à une modification du principe posé dans l'arrêt Stähli, précité, ne sont pas de nature à emporter la conviction du Tribunal fédéral quant à la nécessité d'un changement de sa jurisprudence en la matière. aa) Pour l'essentiel, la demanderesse soutient que cette jurisprudence a vu le jour dans un contexte social différent de celui d'aujourd'hui et qu'elle n'est donc plus adaptée à la réalité économique BGE 123 III 129 S. 133 contemporaine. Force est de souligner d'emblée qu'elle n'a pas soulevé pareil argument devant la Chambre d'appel. En soi, cette circonstance ne s'opposerait pas à l'examen de ce nouvel argument par la juridiction fédérale de réforme. Encore faudrait-il qu'il s'appuyât sur des faits ayant été constatés par la dernière autorité cantonale. En effet, selon une jurisprudence constante, le Tribunal fédéral ne revoit les moyens de droit nouveaux que s'ils déduisent des conséquences juridiques de faits régulièrement soumis à l'appréciation de la juridiction cantonale et constatés par elle dans la décision attaquée ( ATF 90 II 34 consid. 7; POUDRET, COJ, n. 1.5.2.5 ad art. 55 et les références). Il n'en va pas ainsi, dans le cas particulier, la cour cantonale n'ayant procédé à aucune constatation au sujet de l'évolution économique enregistrée dans le domaine du travail, et singulièrement dans les secteurs soumis au droit collectif du travail, depuis l'après-guerre jusqu'à l'époque contemporaine. Or, les allégations de la demanderesse à cet égard n'ont pas trait à des faits notoires, au sens juridique et restrictif de ce terme, et ne sont, dès lors, pas recevables dans la procédure du recours en réforme ( art. 55 al. 1 let . c et 63 al. 2 OJ). Par conséquent, le Tribunal fédéral ne peut pas examiner la pertinence en droit du nouvel argument juridique que lui soumet la demanderesse, étant donné que ce moyen repose sur des prémisses de fait qui échappent à son contrôle. Quoi qu'il en soit, les motifs d'ordre purement économique sur lesquels repose la thèse de la demanderesse ne sauraient justifier, à eux seuls, la modification d'une jurisprudence qui se fonde sur le texte légal et sur la volonté exprimée en son temps par le législateur fédéral (pour l'interprétation historique des dispositions topiques, cf. BOIS, op.cit., p. 445, ch. 7 et notes de pied 17 et 18), jurisprudence qui, même à l'heure actuelle, est approuvée par la plupart des auteurs. bb) La demanderesse cite, en outre, l'avis exprimé par YVES DE ROUGEMONT sur la question controversée (L'application des conventions collectives, in: Journée 1991 du droit du travail et de la sécurité sociale, p. 38 ss, 56 let. A.) et déclare s'y rallier. Toutefois, le passage de l'article de cet auteur, qu'elle reproduit d'ailleurs de manière imparfaite dans son mémoire de recours, n'apporte pas d'eau à son moulin car il a trait à la question - différente - de savoir s'il ne conviendrait pas d'admettre un jour, par voie législative ou jurisprudentielle, que tout contrat de travail renferme une sorte de clause tacite voulant que la convention collective de travail de la profession en cause dans la région concernée lui soit applicable, à moins qu'il ne prévoie expressément le contraire. Or, une BGE 123 III 129 S. 134 telle question ne se pose que dans l'hypothèse où le contrat de travail individuel n'est pas déjà régi par la convention collective de travail entrant en ligne de compte, hypothèse que la demanderesse entend précisément écarter au motif que la clause d'égalité de traitement figurant dans la convention collective de travail invoquée par elle entraînerait ipso facto la soumission du contrat de travail à ladite convention. Au demeurant, il est douteux que l'extension considérable du champ d'application des conventions collectives de travail évoquée par l'auteur précité puisse se faire par voie de jurisprudence, si tant est qu'un tel procédé soit encore admissible au regard des dispositions légales spécifiques réglant déjà la question. cc) Enfin, l'argument tiré de la violation des art. 328 et 328b CO , relatifs à la protection de la personnalité du travailleur, ainsi que de la loi fédérale du 19 juin 1992 sur la protection des données (LPD; RS 235.1), tombe à faux. Selon l'art. 13 al. 1 de ladite loi, une atteinte à la personnalité peut être justifiée, notamment, par un intérêt prépondérant privé. Tel est, en particulier, le cas si le traitement des données personnelles est en relation directe avec la conclusion ou l'exécution d'un contrat et les données traitées concernent le cocontractant ( art. 13 al. 2 let. a LPD ). S'agissant du contrat de travail, l' art. 328b CO , qui est entré en vigueur le 1er juillet 1993 en même temps que la loi précitée, précise que l'employeur ne peut traiter - ce terme vise également la collecte ( art. 3 let . e LPD) - des données concernant le travailleur que dans la mesure où ces données portent sur les aptitudes du travailleur à remplir son emploi ou sont nécessaires à l'exécution du contrat de travail (pour l'interprétation de cette disposition, cf., parmi d'autres, SCHWAIBOLD, in: Kommentar zum Schweizerischen Datenschutzgesetz, Bâle 1995, p. 459 ss; REHBINDER, Commentaire bâlois, p. 1769/1770; TERCIER, op.cit., p. 335, n. 2727 ss). Or, s'il est douteux que l'employeur puisse s'enquérir de l'affiliation syndicale d'un travailleur avant de l'engager, à moins que cette circonstance ne revête une importance décisive pour l'entreprise qu'il exploite ("Tendenzbetrieb"; cf. REHBINDER, Schweizerisches Arbeitsrecht, p. 40), une telle demande apparaît, en revanche, admissible lorsqu'elle est posée après la conclusion du contrat de travail et vise à déterminer si le salaire du nouvel employé doit être fixé ou non en fonction des prescriptions de la convention collective de travail liant l'employeur (dans ce sens, cf. REHBINDER, Commentaire bernois, n. 36 ad art. 320 CO , p. 98). En effet, une information à ce sujet s'avère indispensable pour l'exécution du contrat de travail et entre, dès lors, dans les prévisions de l' art. 328b BGE 123 III 129 S. 135 CO . Au demeurant, le travailleur est protégé par la loi s'il y répond par l'affirmative (cf. l' art. 336 al. 2 let. a CO ). c) La demanderesse soutient, par ailleurs, que la mention "assurance maladie: participation selon convention collective", figurant dans son contrat de travail, et le fait qu'une déduction salariale lui a été imposée à ce titre attestent que l'employeur a entendu insérer toutes les clauses normatives de la convention collective de travail dans le contrat individuel de travail, ce qu'elle-même a accepté en payant chaque mois sa part de cotisation à l'assurance maladie. Cette inclusion serait du reste confirmée par la référence explicite à cette convention que la défenderesse a faite à la fin des rapports de travail. Il est certes possible pour un employeur qui est lié par une convention collective de travail de convenir avec un travailleur à qui elle ne s'applique pas de soumettre le contrat individuel aux dispositions de ladite convention. Sans doute, dans une telle hypothèse, la convention collective de travail ne produit-elle pas directement un effet normatif et l'employeur conserve, en principe, la faculté de résilier le contrat de travail et d'en conclure un nouveau qui déroge aux clauses normatives de la convention en défaveur du travailleur ("Änderungskündigung"). Celui-ci peut néanmoins en exiger indirectement le respect en réclamant l'exécution des clauses de son contrat individuel qui ne font que reprendre les dispositions de la convention collective de travail (sur ce type d'extension de facto de la CCT, cf., parmi d'autres, KREIS, op.cit., p. 47/48, ch. 3 et VISCHER, Commentaire zurichois, n. 20 ad art. 356b CO ). Encore faut-il, pour que l'on puisse conclure à l'incorporation de la convention collective de travail dans le contrat individuel liant les parties que ces dernières aient manifesté, fût-ce tacitement, leur volonté réciproque et concordante de le faire ( art. 1er ss CO ). A cet égard, la référence, faite dans le contrat de travail, à la "convention collective" ne suffit pas à établir l'existence d'un accord des parties quant à l'application de toutes les clauses normatives de la convention collective de travail à leurs rapports de travail. Cette référence se limite, en effet, exclusivement à la question de l'assurance maladie. Pour le surplus, les autres stipulations du contrat règlent elles-mêmes les conditions spécifiques de l'engagement de la demanderesse (salaire mensuel, vacances, gratification, temps d'essai, etc.), sans faire référence à la convention collective de travail, et le contrat en question ne contient pas non plus une clause générale de renvoi à cette convention. Si donc l'employeur était effectivement lié par la clause topique du contrat de travail qui impliquait l'incorporation dans ce contrat de la réglementation conventionnelle BGE 123 III 129 S. 136 au sujet de l'assurance maladie (cf. Aubert, Quatre cents arrêts sur le contrat de travail, no 336), la demanderesse ne pouvait, en revanche, pas inférer, de bonne foi, de ladite clause que la convention collective de travail ferait loi pour toutes les autres questions. Au reste, on ne comprendrait pas pourquoi elle a passé quelque huit ans au service de l'employeur sans se prévaloir de la clause conventionnelle relative au salaire minimum, laissant même prescrire ses prétentions de ce chef antérieures à 1989, si elle estimait avoir droit au salaire conventionnel en vertu de l'accord prétendument passé avec la défenderesse quant à l'applicabilité générale de la convention collective de travail à leurs rapports contractuels. La Chambre d'appel a refusé de déduire l'existence d'un tel accord de la référence à une clause particulière de la convention collective de travail que la défenderesse avait faite dans sa lettre reportant la fin du délai de congé. En d'autres termes, elle n'a pas vu dans cette circonstance postérieure à la conclusion du contrat de travail un indice suffisant pour établir la volonté interne des parties, et singulièrement celle de l'employeur, sur le point litigieux. Le Tribunal fédéral, statuant comme juridiction de réforme, ne peut pas revoir le bien-fondé de cette appréciation, car elle a trait à une question relevant du domaine des faits ( ATF 118 II 365 consid. 1, ATF 115 II 264 consid. 5a p. 269 et les arrêts cités). Le moyen pris de l'inclusion des clauses normatives de la convention collective de travail dans le contrat individuel de travail liant les parties n'est donc pas fondé. d) Dans un dernier moyen, la demanderesse réclame l'application de l' art. 112 al. 2 CO concernant la stipulation pour autrui parfaite. A son avis, la nature et le but de l'accord conventionnel litigieux font nettement ressortir la volonté des partenaires sociaux d'octroyer à tout employé le droit d'agir directement contre son employeur afin d'obtenir le respect des conditions minimales négociées par eux. Cet ultime moyen ne saurait être admis car il ne consiste qu'en une présentation différente de l'argument principal touchant la portée des clauses d'égalité de traitement, lequel a déjà été examiné et réfuté plus haut (cf. les let. a et b du même considérant). De toute manière, il est généralement admis en doctrine que la stipulation pour autrui parfaite, qui n'est d'ailleurs pas à présumer, ne confère pas au travailleur le droit d'actionner directement son employeur, lequel n'est pas une "partie" au sens de l' art. 112 al. 2 CO , mais uniquement l'association patronale signataire de la convention collective de travail, afin qu'elle agisse auprès de son membre (cf., notamment, VISCHER, Commentaire zurichois, n. 16 ad art. 356b CO , et KREIS, op.cit., p. 46/47, ch.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